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autoSpaceDN/>
        <w:jc w:val="center"/>
        <w:rPr>
          <w:sz w:val="24"/>
          <w:szCs w:val="24"/>
          <w:u w:val="single"/>
        </w:rPr>
      </w:pPr>
      <w:r>
        <w:rPr>
          <w:b/>
          <w:bCs/>
          <w:color w:val="222222"/>
          <w:sz w:val="24"/>
          <w:szCs w:val="24"/>
          <w:u w:val="single"/>
          <w:shd w:val="clear" w:color="auto" w:fill="FFFFFF"/>
        </w:rPr>
        <w:t>Mediation-Arbitration Agreement</w:t>
      </w:r>
    </w:p>
    <w:p>
      <w:pPr>
        <w:widowControl/>
        <w:shd w:val="clear" w:color="auto" w:fill="FFFFFF"/>
        <w:autoSpaceDE/>
        <w:autoSpaceDN/>
        <w:jc w:val="center"/>
        <w:rPr>
          <w:color w:val="222222"/>
          <w:sz w:val="24"/>
          <w:szCs w:val="24"/>
        </w:rPr>
      </w:pPr>
    </w:p>
    <w:p>
      <w:pPr>
        <w:pStyle w:val="6"/>
        <w:widowControl/>
        <w:numPr>
          <w:ilvl w:val="0"/>
          <w:numId w:val="1"/>
        </w:numPr>
        <w:shd w:val="clear" w:color="auto" w:fill="FFFFFF"/>
        <w:autoSpaceDE/>
        <w:autoSpaceDN/>
        <w:rPr>
          <w:color w:val="000000"/>
          <w:sz w:val="24"/>
          <w:szCs w:val="24"/>
        </w:rPr>
      </w:pPr>
      <w:r>
        <w:rPr>
          <w:u w:val="none"/>
        </w:rPr>
        <w:t xml:space="preserve">THIS </w:t>
      </w:r>
      <w:r>
        <w:rPr>
          <w:color w:val="000000"/>
          <w:sz w:val="24"/>
          <w:szCs w:val="24"/>
          <w:u w:val="none"/>
        </w:rPr>
        <w:t>MEDIATION-ARBITRATION AGREEMENT (MED-ARB)</w:t>
      </w:r>
      <w:r>
        <w:rPr>
          <w:u w:val="none"/>
        </w:rPr>
        <w:t xml:space="preserve"> made on</w:t>
      </w:r>
      <w:r>
        <w:rPr>
          <w:u w:val="none"/>
          <w:lang w:val="en-US"/>
        </w:rPr>
        <w:t xml:space="preserve"> this</w:t>
      </w:r>
      <w:r>
        <w:rPr>
          <w:u w:val="none"/>
        </w:rPr>
        <w:t xml:space="preserve"> 15</w:t>
      </w:r>
      <w:r>
        <w:rPr>
          <w:u w:val="none"/>
          <w:vertAlign w:val="superscript"/>
        </w:rPr>
        <w:t>th</w:t>
      </w:r>
      <w:r>
        <w:rPr>
          <w:u w:val="none"/>
        </w:rPr>
        <w:t xml:space="preserve"> day of January 2019 , between  </w:t>
      </w:r>
      <w:r>
        <w:rPr>
          <w:color w:val="000000"/>
          <w:sz w:val="24"/>
          <w:szCs w:val="24"/>
          <w:u w:val="none"/>
        </w:rPr>
        <w:t>Premji Productions Ltd.</w:t>
      </w:r>
      <w:r>
        <w:rPr>
          <w:u w:val="none"/>
        </w:rPr>
        <w:t xml:space="preserve"> ("Claimant 1") and </w:t>
      </w:r>
      <w:r>
        <w:rPr>
          <w:color w:val="000000"/>
          <w:sz w:val="24"/>
          <w:szCs w:val="24"/>
          <w:u w:val="none"/>
        </w:rPr>
        <w:t xml:space="preserve">Dr. Akshit Singh </w:t>
      </w:r>
      <w:r>
        <w:rPr>
          <w:u w:val="none"/>
        </w:rPr>
        <w:t xml:space="preserve">("Claimant 2") and  </w:t>
      </w:r>
      <w:r>
        <w:rPr>
          <w:color w:val="000000"/>
          <w:sz w:val="24"/>
          <w:szCs w:val="24"/>
          <w:u w:val="none"/>
        </w:rPr>
        <w:t>View Trender Ltd. Co</w:t>
      </w:r>
      <w:r>
        <w:rPr>
          <w:u w:val="none"/>
        </w:rPr>
        <w:t xml:space="preserve"> ("Respondent")  collectively called as “Parties” and includes -</w:t>
      </w:r>
    </w:p>
    <w:p>
      <w:pPr>
        <w:pStyle w:val="6"/>
        <w:widowControl/>
        <w:shd w:val="clear" w:color="auto" w:fill="FFFFFF"/>
        <w:autoSpaceDE/>
        <w:autoSpaceDN/>
        <w:ind w:left="720" w:firstLine="0"/>
        <w:rPr>
          <w:color w:val="000000"/>
          <w:sz w:val="24"/>
          <w:szCs w:val="24"/>
        </w:rPr>
      </w:pPr>
    </w:p>
    <w:p>
      <w:pPr>
        <w:pStyle w:val="6"/>
        <w:widowControl/>
        <w:numPr>
          <w:ilvl w:val="0"/>
          <w:numId w:val="1"/>
        </w:numPr>
        <w:shd w:val="clear" w:color="auto" w:fill="FFFFFF"/>
        <w:autoSpaceDE/>
        <w:autoSpaceDN/>
        <w:rPr>
          <w:color w:val="000000"/>
          <w:sz w:val="24"/>
          <w:szCs w:val="24"/>
        </w:rPr>
      </w:pPr>
      <w:r>
        <w:rPr>
          <w:color w:val="000000"/>
          <w:sz w:val="24"/>
          <w:szCs w:val="24"/>
          <w:u w:val="none"/>
        </w:rPr>
        <w:t xml:space="preserve"> An agreement that all claims will be brought only in an individual capacity or as representative proceeding by their relatives, related parties or subsidiaries and not as a class action or </w:t>
      </w:r>
      <w:r>
        <w:rPr>
          <w:color w:val="000000"/>
          <w:sz w:val="24"/>
          <w:szCs w:val="24"/>
          <w:u w:val="none"/>
          <w:lang w:val="en-US"/>
        </w:rPr>
        <w:t>any other relationship</w:t>
      </w:r>
      <w:r>
        <w:rPr>
          <w:color w:val="000000"/>
          <w:sz w:val="24"/>
          <w:szCs w:val="24"/>
          <w:u w:val="none"/>
        </w:rPr>
        <w:t>. The parties to this agreement involve</w:t>
      </w:r>
      <w:r>
        <w:rPr>
          <w:color w:val="000000"/>
          <w:sz w:val="24"/>
          <w:szCs w:val="24"/>
          <w:u w:val="none"/>
          <w:lang w:val="en-US"/>
        </w:rPr>
        <w:t>s</w:t>
      </w:r>
      <w:r>
        <w:rPr>
          <w:color w:val="000000"/>
          <w:sz w:val="24"/>
          <w:szCs w:val="24"/>
          <w:u w:val="none"/>
        </w:rPr>
        <w:t xml:space="preserve"> View Trender Ltd. Co., Premji Productions Ltd. and Dr. Akshit Singh representing the interest of himself and Navalurisa People’s Party (NPP). </w:t>
      </w:r>
    </w:p>
    <w:p>
      <w:pPr>
        <w:pStyle w:val="6"/>
        <w:widowControl/>
        <w:shd w:val="clear" w:color="auto" w:fill="FFFFFF"/>
        <w:autoSpaceDE/>
        <w:autoSpaceDN/>
        <w:ind w:left="720" w:firstLine="0"/>
        <w:rPr>
          <w:color w:val="000000"/>
          <w:sz w:val="24"/>
          <w:szCs w:val="24"/>
        </w:rPr>
      </w:pPr>
    </w:p>
    <w:p>
      <w:pPr>
        <w:pStyle w:val="6"/>
        <w:widowControl/>
        <w:numPr>
          <w:ilvl w:val="0"/>
          <w:numId w:val="1"/>
        </w:numPr>
        <w:shd w:val="clear" w:color="auto" w:fill="FFFFFF"/>
        <w:autoSpaceDE/>
        <w:autoSpaceDN/>
        <w:rPr>
          <w:color w:val="000000"/>
          <w:sz w:val="24"/>
          <w:szCs w:val="24"/>
        </w:rPr>
      </w:pPr>
      <w:r>
        <w:rPr>
          <w:color w:val="000000"/>
          <w:sz w:val="24"/>
          <w:szCs w:val="24"/>
          <w:u w:val="none"/>
        </w:rPr>
        <w:t xml:space="preserve">All the parties have a right to consensually amend the clauses of the agreement anytime, subject to </w:t>
      </w:r>
      <w:r>
        <w:rPr>
          <w:color w:val="000000"/>
          <w:sz w:val="24"/>
          <w:szCs w:val="24"/>
          <w:u w:val="none"/>
          <w:lang w:val="en-US"/>
        </w:rPr>
        <w:t xml:space="preserve">a </w:t>
      </w:r>
      <w:r>
        <w:rPr>
          <w:color w:val="000000"/>
          <w:sz w:val="24"/>
          <w:szCs w:val="24"/>
          <w:u w:val="none"/>
        </w:rPr>
        <w:t>prior notice of 30 days, to all the other parties to the agreement. The parties, hereby, agree to the following</w:t>
      </w:r>
      <w:r>
        <w:rPr>
          <w:color w:val="000000"/>
          <w:sz w:val="24"/>
          <w:szCs w:val="24"/>
        </w:rPr>
        <w:t>:</w:t>
      </w:r>
    </w:p>
    <w:p>
      <w:pPr>
        <w:widowControl/>
        <w:autoSpaceDE/>
        <w:autoSpaceDN/>
        <w:jc w:val="both"/>
        <w:rPr>
          <w:color w:val="500050"/>
          <w:sz w:val="24"/>
          <w:szCs w:val="24"/>
          <w:shd w:val="clear" w:color="auto" w:fill="FFFFFF"/>
        </w:rPr>
      </w:pPr>
      <w:r>
        <w:rPr>
          <w:color w:val="000000"/>
          <w:sz w:val="24"/>
          <w:szCs w:val="24"/>
          <w:shd w:val="clear" w:color="auto" w:fill="FFFFFF"/>
        </w:rPr>
        <w:t> </w:t>
      </w:r>
    </w:p>
    <w:p>
      <w:pPr>
        <w:widowControl/>
        <w:autoSpaceDE/>
        <w:autoSpaceDN/>
        <w:ind w:left="720"/>
        <w:jc w:val="both"/>
        <w:rPr>
          <w:i/>
          <w:color w:val="500050"/>
          <w:sz w:val="24"/>
          <w:szCs w:val="24"/>
          <w:shd w:val="clear" w:color="auto" w:fill="FFFFFF"/>
        </w:rPr>
      </w:pPr>
      <w:r>
        <w:rPr>
          <w:i/>
          <w:color w:val="000000"/>
          <w:sz w:val="24"/>
          <w:szCs w:val="24"/>
          <w:shd w:val="clear" w:color="auto" w:fill="FFFFFF"/>
        </w:rPr>
        <w:t>“Any dispute, difference or controversy arising out of or in relation or in connection with this agreement shall be referred to mediation at the Tamil Nadu National Law University  and in accordance with the NMAC Rules, 2019. The dispute shall also be referred to arbitration as per the NMAC Rules, 2019 and Arbitration and Conciliation Act, 1996 at the</w:t>
      </w:r>
      <w:r>
        <w:rPr>
          <w:i/>
          <w:color w:val="000000"/>
          <w:sz w:val="24"/>
          <w:szCs w:val="24"/>
          <w:shd w:val="clear" w:color="auto" w:fill="FFFFFF"/>
          <w:lang w:val="en-US"/>
        </w:rPr>
        <w:t xml:space="preserve"> </w:t>
      </w:r>
      <w:r>
        <w:rPr>
          <w:i/>
          <w:color w:val="000000"/>
          <w:sz w:val="24"/>
          <w:szCs w:val="24"/>
          <w:shd w:val="clear" w:color="auto" w:fill="FFFFFF"/>
        </w:rPr>
        <w:t>Tamil Nadu National Law University National Med- Arb Competition 2019 held from 8</w:t>
      </w:r>
      <w:r>
        <w:rPr>
          <w:i/>
          <w:color w:val="000000"/>
          <w:sz w:val="24"/>
          <w:szCs w:val="24"/>
          <w:shd w:val="clear" w:color="auto" w:fill="FFFFFF"/>
          <w:vertAlign w:val="superscript"/>
        </w:rPr>
        <w:t>th</w:t>
      </w:r>
      <w:r>
        <w:rPr>
          <w:i/>
          <w:color w:val="000000"/>
          <w:sz w:val="24"/>
          <w:szCs w:val="24"/>
          <w:shd w:val="clear" w:color="auto" w:fill="FFFFFF"/>
        </w:rPr>
        <w:t xml:space="preserve"> to 10</w:t>
      </w:r>
      <w:r>
        <w:rPr>
          <w:i/>
          <w:color w:val="000000"/>
          <w:sz w:val="24"/>
          <w:szCs w:val="24"/>
          <w:shd w:val="clear" w:color="auto" w:fill="FFFFFF"/>
          <w:vertAlign w:val="superscript"/>
        </w:rPr>
        <w:t xml:space="preserve">th </w:t>
      </w:r>
      <w:r>
        <w:rPr>
          <w:i/>
          <w:color w:val="000000"/>
          <w:sz w:val="24"/>
          <w:szCs w:val="24"/>
          <w:shd w:val="clear" w:color="auto" w:fill="FFFFFF"/>
        </w:rPr>
        <w:t>March, 2019.”</w:t>
      </w:r>
    </w:p>
    <w:p>
      <w:pPr>
        <w:widowControl/>
        <w:autoSpaceDE/>
        <w:autoSpaceDN/>
        <w:jc w:val="both"/>
        <w:rPr>
          <w:color w:val="500050"/>
          <w:sz w:val="24"/>
          <w:szCs w:val="24"/>
          <w:shd w:val="clear" w:color="auto" w:fill="FFFFFF"/>
        </w:rPr>
      </w:pPr>
      <w:r>
        <w:rPr>
          <w:color w:val="000000"/>
          <w:sz w:val="24"/>
          <w:szCs w:val="24"/>
          <w:shd w:val="clear" w:color="auto" w:fill="FFFFFF"/>
        </w:rPr>
        <w:t> </w:t>
      </w:r>
    </w:p>
    <w:p>
      <w:pPr>
        <w:pStyle w:val="3"/>
        <w:numPr>
          <w:ilvl w:val="0"/>
          <w:numId w:val="1"/>
        </w:numPr>
        <w:tabs>
          <w:tab w:val="right" w:pos="9600"/>
        </w:tabs>
        <w:spacing w:before="4"/>
        <w:jc w:val="both"/>
        <w:rPr>
          <w:u w:val="none"/>
        </w:rPr>
      </w:pPr>
      <w:r>
        <w:rPr>
          <w:color w:val="000000"/>
          <w:u w:val="none"/>
          <w:shd w:val="clear" w:color="auto" w:fill="FFFFFF"/>
        </w:rPr>
        <w:t>The parties have decided to engage TNNLU as their authority to assign them with mediator(s)/arbitrator(s) by consensus and in case of any conflict of interest with any of the mediator(s)/arbitrator(s), even remotely; the parties shall have the liberty to seek for new neutral third party/parties as mediator(s) / arbitrator(s) to resolve the dispute. </w:t>
      </w:r>
    </w:p>
    <w:p>
      <w:pPr>
        <w:pStyle w:val="3"/>
        <w:tabs>
          <w:tab w:val="right" w:pos="9600"/>
        </w:tabs>
        <w:spacing w:before="4"/>
        <w:ind w:left="720"/>
        <w:jc w:val="both"/>
        <w:rPr>
          <w:u w:val="none"/>
        </w:rPr>
      </w:pPr>
      <w:r>
        <w:rPr>
          <w:color w:val="000000"/>
          <w:u w:val="none"/>
          <w:shd w:val="clear" w:color="auto" w:fill="FFFFFF"/>
        </w:rPr>
        <w:t> </w:t>
      </w:r>
    </w:p>
    <w:p>
      <w:pPr>
        <w:pStyle w:val="3"/>
        <w:numPr>
          <w:ilvl w:val="0"/>
          <w:numId w:val="1"/>
        </w:numPr>
        <w:tabs>
          <w:tab w:val="right" w:pos="9600"/>
        </w:tabs>
        <w:spacing w:before="4"/>
        <w:jc w:val="both"/>
        <w:rPr>
          <w:u w:val="none"/>
        </w:rPr>
      </w:pPr>
      <w:r>
        <w:rPr>
          <w:b/>
          <w:u w:val="none"/>
        </w:rPr>
        <w:t>Required Documents</w:t>
      </w:r>
      <w:r>
        <w:rPr>
          <w:u w:val="none"/>
        </w:rPr>
        <w:t xml:space="preserve">. It is anticipated that during </w:t>
      </w:r>
      <w:r>
        <w:rPr>
          <w:u w:val="none"/>
          <w:lang w:val="en-US"/>
        </w:rPr>
        <w:t xml:space="preserve">the </w:t>
      </w:r>
      <w:r>
        <w:rPr>
          <w:u w:val="none"/>
        </w:rPr>
        <w:t>hearings/sessions</w:t>
      </w:r>
      <w:r>
        <w:rPr>
          <w:u w:val="none"/>
          <w:lang w:val="en-US"/>
        </w:rPr>
        <w:t>,</w:t>
      </w:r>
      <w:r>
        <w:rPr>
          <w:u w:val="none"/>
        </w:rPr>
        <w:t xml:space="preserve"> the parties may be required by the mediator/Arbitrator </w:t>
      </w:r>
      <w:r>
        <w:rPr>
          <w:u w:val="none"/>
          <w:lang w:val="en-US"/>
        </w:rPr>
        <w:t xml:space="preserve">to provide </w:t>
      </w:r>
      <w:r>
        <w:rPr>
          <w:u w:val="none"/>
        </w:rPr>
        <w:t xml:space="preserve">any information necessary in order for him/her to perform the services. It will be necessary for the parties to timely provide such copies of </w:t>
      </w:r>
      <w:r>
        <w:rPr>
          <w:u w:val="none"/>
          <w:lang w:val="en-US"/>
        </w:rPr>
        <w:t xml:space="preserve">the </w:t>
      </w:r>
      <w:r>
        <w:rPr>
          <w:u w:val="none"/>
        </w:rPr>
        <w:t>documents and briefs dealing with the issues and such other items as specifically identified by them from time to time</w:t>
      </w:r>
      <w:r>
        <w:rPr>
          <w:u w:val="none"/>
          <w:lang w:val="en-US"/>
        </w:rPr>
        <w:t>.</w:t>
      </w:r>
    </w:p>
    <w:p>
      <w:pPr>
        <w:pStyle w:val="3"/>
        <w:tabs>
          <w:tab w:val="right" w:pos="9600"/>
        </w:tabs>
        <w:spacing w:before="4"/>
        <w:ind w:left="720"/>
        <w:jc w:val="both"/>
        <w:rPr>
          <w:u w:val="none"/>
        </w:rPr>
      </w:pPr>
    </w:p>
    <w:p>
      <w:pPr>
        <w:pStyle w:val="3"/>
        <w:numPr>
          <w:ilvl w:val="0"/>
          <w:numId w:val="1"/>
        </w:numPr>
        <w:tabs>
          <w:tab w:val="right" w:pos="9600"/>
        </w:tabs>
        <w:spacing w:before="4"/>
        <w:jc w:val="both"/>
        <w:rPr>
          <w:u w:val="none"/>
        </w:rPr>
      </w:pPr>
      <w:r>
        <w:rPr>
          <w:b/>
          <w:color w:val="000000"/>
          <w:u w:val="none"/>
          <w:shd w:val="clear" w:color="auto" w:fill="FFFFFF"/>
        </w:rPr>
        <w:t>Confidentiality:</w:t>
      </w:r>
      <w:r>
        <w:rPr>
          <w:color w:val="000000"/>
          <w:u w:val="none"/>
          <w:shd w:val="clear" w:color="auto" w:fill="FFFFFF"/>
        </w:rPr>
        <w:t xml:space="preserve"> All communications, negotiations, or settlement discussions by and between participants in the course of a mediation/arbitration or a mediation/arbitration consultation shall remain confidential.</w:t>
      </w:r>
    </w:p>
    <w:p>
      <w:pPr>
        <w:jc w:val="both"/>
      </w:pPr>
    </w:p>
    <w:p/>
    <w:p>
      <w:pPr>
        <w:pStyle w:val="3"/>
        <w:spacing w:before="76"/>
        <w:rPr>
          <w:u w:val="none"/>
        </w:rPr>
      </w:pPr>
    </w:p>
    <w:p>
      <w:pPr>
        <w:pStyle w:val="3"/>
        <w:spacing w:before="76"/>
        <w:rPr>
          <w:u w:val="none"/>
        </w:rPr>
      </w:pPr>
    </w:p>
    <w:p>
      <w:pPr>
        <w:pStyle w:val="3"/>
        <w:spacing w:before="76"/>
        <w:rPr>
          <w:u w:val="none"/>
        </w:rPr>
      </w:pPr>
    </w:p>
    <w:p>
      <w:pPr>
        <w:pStyle w:val="3"/>
        <w:spacing w:before="76"/>
        <w:rPr>
          <w:u w:val="none"/>
        </w:rPr>
      </w:pPr>
    </w:p>
    <w:p>
      <w:pPr>
        <w:pStyle w:val="3"/>
        <w:spacing w:before="76"/>
        <w:rPr>
          <w:u w:val="none"/>
        </w:rPr>
      </w:pPr>
    </w:p>
    <w:p>
      <w:pPr>
        <w:pStyle w:val="3"/>
        <w:spacing w:before="76"/>
        <w:rPr>
          <w:u w:val="none"/>
        </w:rPr>
      </w:pPr>
    </w:p>
    <w:p>
      <w:pPr>
        <w:pStyle w:val="3"/>
        <w:spacing w:before="76"/>
        <w:rPr>
          <w:u w:val="none"/>
        </w:rPr>
      </w:pPr>
    </w:p>
    <w:p>
      <w:pPr>
        <w:pStyle w:val="3"/>
        <w:spacing w:before="76"/>
        <w:rPr>
          <w:u w:val="none"/>
        </w:rPr>
      </w:pPr>
    </w:p>
    <w:p>
      <w:pPr>
        <w:pStyle w:val="3"/>
        <w:spacing w:before="76"/>
        <w:rPr>
          <w:u w:val="none"/>
        </w:rPr>
      </w:pPr>
      <w:r>
        <w:rPr>
          <w:u w:val="none"/>
        </w:rPr>
        <w:t xml:space="preserve">IN WITNESS WHEREOF, Claimants and Respondent have executed this Agreement at </w:t>
      </w:r>
    </w:p>
    <w:p>
      <w:pPr>
        <w:rPr>
          <w:sz w:val="16"/>
        </w:rPr>
        <w:sectPr>
          <w:pgSz w:w="12240" w:h="15840"/>
          <w:pgMar w:top="1360" w:right="1320" w:bottom="980" w:left="1320" w:header="0" w:footer="788" w:gutter="0"/>
          <w:cols w:space="720" w:num="1"/>
        </w:sectPr>
      </w:pPr>
    </w:p>
    <w:p>
      <w:pPr>
        <w:spacing w:before="90"/>
        <w:ind w:left="120"/>
        <w:rPr>
          <w:sz w:val="24"/>
        </w:rPr>
      </w:pPr>
    </w:p>
    <w:p>
      <w:pPr>
        <w:spacing w:before="90"/>
        <w:ind w:left="120"/>
        <w:rPr>
          <w:sz w:val="24"/>
        </w:rPr>
      </w:pPr>
    </w:p>
    <w:p>
      <w:pPr>
        <w:spacing w:before="90"/>
        <w:ind w:left="120"/>
        <w:rPr>
          <w:sz w:val="24"/>
        </w:rPr>
      </w:pPr>
      <w:r>
        <w:rPr>
          <w:sz w:val="24"/>
        </w:rPr>
        <w:t>"</w:t>
      </w:r>
      <w:r>
        <w:rPr>
          <w:b/>
          <w:sz w:val="24"/>
        </w:rPr>
        <w:t>Counsel</w:t>
      </w:r>
      <w:r>
        <w:rPr>
          <w:sz w:val="24"/>
        </w:rPr>
        <w:t>":</w:t>
      </w:r>
    </w:p>
    <w:p>
      <w:pPr>
        <w:pStyle w:val="3"/>
        <w:spacing w:before="11"/>
        <w:rPr>
          <w:sz w:val="23"/>
          <w:u w:val="none"/>
        </w:rPr>
      </w:pPr>
    </w:p>
    <w:p>
      <w:pPr>
        <w:pStyle w:val="3"/>
        <w:ind w:left="120"/>
        <w:rPr>
          <w:u w:val="none"/>
        </w:rPr>
      </w:pPr>
      <w:r>
        <w:rPr>
          <w:u w:val="none"/>
        </w:rPr>
        <w:t>Counsel for Claimant 1 &amp; 2</w:t>
      </w:r>
    </w:p>
    <w:p>
      <w:pPr>
        <w:pStyle w:val="3"/>
        <w:rPr>
          <w:sz w:val="26"/>
          <w:u w:val="none"/>
        </w:rPr>
      </w:pPr>
    </w:p>
    <w:p>
      <w:pPr>
        <w:pStyle w:val="3"/>
        <w:rPr>
          <w:sz w:val="26"/>
          <w:u w:val="none"/>
        </w:rPr>
      </w:pPr>
    </w:p>
    <w:p>
      <w:pPr>
        <w:pStyle w:val="3"/>
        <w:tabs>
          <w:tab w:val="left" w:pos="839"/>
          <w:tab w:val="left" w:pos="4439"/>
        </w:tabs>
        <w:spacing w:before="230"/>
        <w:ind w:left="120"/>
        <w:rPr>
          <w:u w:val="none"/>
        </w:rPr>
      </w:pPr>
      <w:r>
        <w:rPr>
          <w:u w:val="none"/>
        </w:rPr>
        <w:t>By:</w:t>
      </w:r>
      <w:r>
        <w:rPr>
          <w:u w:val="none"/>
        </w:rPr>
        <w:tab/>
      </w:r>
      <w:r>
        <w:t xml:space="preserve"> </w:t>
      </w:r>
      <w:r>
        <w:tab/>
      </w:r>
    </w:p>
    <w:p>
      <w:pPr>
        <w:tabs>
          <w:tab w:val="left" w:pos="1260"/>
        </w:tabs>
        <w:spacing w:before="90" w:line="480" w:lineRule="auto"/>
        <w:ind w:left="120" w:right="3463"/>
      </w:pPr>
      <w:r>
        <w:br w:type="column"/>
      </w:r>
    </w:p>
    <w:p>
      <w:pPr>
        <w:tabs>
          <w:tab w:val="left" w:pos="1260"/>
        </w:tabs>
        <w:spacing w:before="90" w:line="480" w:lineRule="auto"/>
        <w:ind w:left="120" w:right="3463"/>
      </w:pPr>
      <w:r>
        <w:rPr>
          <w:sz w:val="24"/>
        </w:rPr>
        <w:t>"</w:t>
      </w:r>
      <w:r>
        <w:rPr>
          <w:b/>
          <w:sz w:val="24"/>
        </w:rPr>
        <w:t>Client</w:t>
      </w:r>
      <w:r>
        <w:rPr>
          <w:sz w:val="24"/>
        </w:rPr>
        <w:t xml:space="preserve">” Claimants </w:t>
      </w:r>
    </w:p>
    <w:p>
      <w:pPr>
        <w:pStyle w:val="3"/>
        <w:rPr>
          <w:sz w:val="26"/>
          <w:u w:val="none"/>
        </w:rPr>
      </w:pPr>
    </w:p>
    <w:p>
      <w:pPr>
        <w:pStyle w:val="3"/>
        <w:spacing w:before="11"/>
        <w:rPr>
          <w:sz w:val="21"/>
          <w:u w:val="none"/>
        </w:rPr>
      </w:pPr>
    </w:p>
    <w:p>
      <w:pPr>
        <w:pStyle w:val="3"/>
        <w:tabs>
          <w:tab w:val="left" w:pos="839"/>
          <w:tab w:val="left" w:pos="4439"/>
        </w:tabs>
        <w:ind w:left="120"/>
        <w:rPr>
          <w:u w:val="none"/>
        </w:rPr>
      </w:pPr>
      <w:r>
        <w:rPr>
          <w:u w:val="none"/>
        </w:rPr>
        <w:t>By:</w:t>
      </w:r>
      <w:r>
        <w:rPr>
          <w:u w:val="none"/>
        </w:rPr>
        <w:tab/>
      </w:r>
      <w:r>
        <w:t xml:space="preserve"> </w:t>
      </w:r>
      <w:r>
        <w:tab/>
      </w:r>
    </w:p>
    <w:p>
      <w:pPr>
        <w:sectPr>
          <w:type w:val="continuous"/>
          <w:pgSz w:w="12240" w:h="15840"/>
          <w:pgMar w:top="1360" w:right="1320" w:bottom="280" w:left="1320" w:header="720" w:footer="720" w:gutter="0"/>
          <w:cols w:equalWidth="0" w:num="2">
            <w:col w:w="4480" w:space="307"/>
            <w:col w:w="4813"/>
          </w:cols>
        </w:sectPr>
      </w:pPr>
    </w:p>
    <w:p>
      <w:pPr>
        <w:pStyle w:val="3"/>
        <w:spacing w:before="2"/>
        <w:rPr>
          <w:sz w:val="16"/>
          <w:u w:val="none"/>
        </w:rPr>
      </w:pPr>
    </w:p>
    <w:p>
      <w:pPr>
        <w:pStyle w:val="3"/>
        <w:spacing w:before="2"/>
        <w:rPr>
          <w:u w:val="none"/>
        </w:rPr>
      </w:pPr>
    </w:p>
    <w:p>
      <w:pPr>
        <w:pStyle w:val="3"/>
        <w:spacing w:before="2"/>
        <w:rPr>
          <w:u w:val="none"/>
        </w:rPr>
      </w:pPr>
    </w:p>
    <w:p>
      <w:pPr>
        <w:sectPr>
          <w:type w:val="continuous"/>
          <w:pgSz w:w="12240" w:h="15840"/>
          <w:pgMar w:top="1360" w:right="1320" w:bottom="280" w:left="1320" w:header="720" w:footer="720" w:gutter="0"/>
          <w:cols w:space="720" w:num="1"/>
        </w:sectPr>
      </w:pPr>
    </w:p>
    <w:p>
      <w:pPr>
        <w:pStyle w:val="3"/>
        <w:spacing w:before="90"/>
        <w:ind w:left="120"/>
        <w:rPr>
          <w:u w:val="none"/>
        </w:rPr>
      </w:pPr>
    </w:p>
    <w:p>
      <w:pPr>
        <w:pStyle w:val="3"/>
        <w:spacing w:before="90"/>
        <w:ind w:left="120"/>
        <w:rPr>
          <w:u w:val="none"/>
        </w:rPr>
      </w:pPr>
      <w:r>
        <w:rPr>
          <w:u w:val="none"/>
        </w:rPr>
        <w:t>Counsel for Respondent</w:t>
      </w:r>
    </w:p>
    <w:p>
      <w:pPr>
        <w:pStyle w:val="3"/>
        <w:rPr>
          <w:sz w:val="26"/>
          <w:u w:val="none"/>
        </w:rPr>
      </w:pPr>
    </w:p>
    <w:p>
      <w:pPr>
        <w:pStyle w:val="3"/>
        <w:rPr>
          <w:sz w:val="26"/>
          <w:u w:val="none"/>
        </w:rPr>
      </w:pPr>
    </w:p>
    <w:p>
      <w:pPr>
        <w:pStyle w:val="3"/>
        <w:tabs>
          <w:tab w:val="left" w:pos="839"/>
          <w:tab w:val="left" w:pos="4439"/>
        </w:tabs>
        <w:spacing w:before="230"/>
        <w:ind w:left="120"/>
        <w:rPr>
          <w:u w:val="none"/>
        </w:rPr>
      </w:pPr>
      <w:r>
        <w:rPr>
          <w:u w:val="none"/>
        </w:rPr>
        <w:t>By:</w:t>
      </w:r>
      <w:r>
        <w:rPr>
          <w:u w:val="none"/>
        </w:rPr>
        <w:tab/>
      </w:r>
      <w:r>
        <w:t xml:space="preserve"> </w:t>
      </w:r>
      <w:r>
        <w:tab/>
      </w:r>
      <w:r>
        <w:rPr>
          <w:u w:val="none"/>
        </w:rPr>
        <w:br w:type="column"/>
      </w:r>
    </w:p>
    <w:p>
      <w:pPr>
        <w:pStyle w:val="3"/>
        <w:tabs>
          <w:tab w:val="left" w:pos="839"/>
          <w:tab w:val="left" w:pos="4439"/>
        </w:tabs>
        <w:spacing w:before="230"/>
        <w:ind w:left="120"/>
        <w:rPr>
          <w:u w:val="none"/>
        </w:rPr>
      </w:pPr>
      <w:r>
        <w:rPr>
          <w:u w:val="none"/>
        </w:rPr>
        <w:t>Respondent</w:t>
      </w:r>
    </w:p>
    <w:p>
      <w:pPr>
        <w:pStyle w:val="3"/>
        <w:rPr>
          <w:sz w:val="26"/>
          <w:u w:val="none"/>
        </w:rPr>
      </w:pPr>
    </w:p>
    <w:p>
      <w:pPr>
        <w:pStyle w:val="3"/>
        <w:rPr>
          <w:sz w:val="26"/>
          <w:u w:val="none"/>
        </w:rPr>
      </w:pPr>
    </w:p>
    <w:p>
      <w:pPr>
        <w:pStyle w:val="3"/>
        <w:tabs>
          <w:tab w:val="left" w:pos="839"/>
          <w:tab w:val="left" w:pos="4439"/>
        </w:tabs>
        <w:spacing w:before="230"/>
        <w:ind w:left="120"/>
        <w:rPr>
          <w:u w:val="none"/>
        </w:rPr>
      </w:pPr>
      <w:r>
        <w:rPr>
          <w:u w:val="none"/>
        </w:rPr>
        <w:t>By:</w:t>
      </w:r>
      <w:r>
        <w:rPr>
          <w:u w:val="none"/>
        </w:rPr>
        <w:tab/>
      </w:r>
      <w:r>
        <w:t xml:space="preserve"> </w:t>
      </w:r>
      <w:r>
        <w:tab/>
      </w:r>
    </w:p>
    <w:p/>
    <w:p>
      <w:pPr>
        <w:pStyle w:val="3"/>
        <w:tabs>
          <w:tab w:val="left" w:pos="839"/>
          <w:tab w:val="left" w:pos="4439"/>
          <w:tab w:val="left" w:pos="4907"/>
          <w:tab w:val="left" w:pos="5627"/>
          <w:tab w:val="left" w:pos="9227"/>
        </w:tabs>
        <w:spacing w:before="90"/>
        <w:ind w:hanging="4590"/>
        <w:rPr>
          <w:u w:val="none"/>
        </w:rPr>
      </w:pPr>
      <w:r>
        <w:rPr>
          <w:u w:val="none"/>
        </w:rPr>
        <w:t>Its:</w:t>
      </w:r>
      <w:r>
        <w:rPr>
          <w:u w:val="none"/>
        </w:rPr>
        <w:tab/>
      </w:r>
    </w:p>
    <w:p>
      <w:pPr>
        <w:pStyle w:val="3"/>
        <w:tabs>
          <w:tab w:val="left" w:pos="839"/>
          <w:tab w:val="left" w:pos="4439"/>
          <w:tab w:val="left" w:pos="4907"/>
          <w:tab w:val="left" w:pos="5627"/>
          <w:tab w:val="left" w:pos="9227"/>
        </w:tabs>
        <w:spacing w:before="90"/>
        <w:ind w:hanging="4590"/>
        <w:rPr>
          <w:u w:val="none"/>
        </w:rPr>
      </w:pPr>
    </w:p>
    <w:p>
      <w:pPr>
        <w:pStyle w:val="3"/>
        <w:tabs>
          <w:tab w:val="left" w:pos="839"/>
          <w:tab w:val="left" w:pos="4439"/>
          <w:tab w:val="left" w:pos="4907"/>
          <w:tab w:val="left" w:pos="5627"/>
          <w:tab w:val="left" w:pos="9227"/>
        </w:tabs>
        <w:spacing w:before="90"/>
        <w:ind w:hanging="4590"/>
        <w:rPr>
          <w:u w:val="none"/>
        </w:rPr>
      </w:pPr>
    </w:p>
    <w:p>
      <w:pPr>
        <w:pStyle w:val="3"/>
        <w:tabs>
          <w:tab w:val="left" w:pos="839"/>
          <w:tab w:val="left" w:pos="4439"/>
          <w:tab w:val="left" w:pos="4907"/>
          <w:tab w:val="left" w:pos="5627"/>
          <w:tab w:val="left" w:pos="9227"/>
        </w:tabs>
        <w:spacing w:before="90"/>
        <w:ind w:hanging="4590"/>
        <w:rPr>
          <w:u w:val="none"/>
        </w:rPr>
      </w:pPr>
    </w:p>
    <w:p>
      <w:pPr>
        <w:pStyle w:val="3"/>
        <w:tabs>
          <w:tab w:val="left" w:pos="839"/>
          <w:tab w:val="left" w:pos="4439"/>
          <w:tab w:val="left" w:pos="4907"/>
          <w:tab w:val="left" w:pos="5627"/>
          <w:tab w:val="left" w:pos="9227"/>
        </w:tabs>
        <w:spacing w:before="90"/>
        <w:ind w:hanging="4590"/>
        <w:rPr>
          <w:u w:val="none"/>
        </w:rPr>
      </w:pPr>
    </w:p>
    <w:p>
      <w:pPr>
        <w:pStyle w:val="3"/>
        <w:tabs>
          <w:tab w:val="left" w:pos="839"/>
          <w:tab w:val="left" w:pos="4439"/>
          <w:tab w:val="left" w:pos="4907"/>
          <w:tab w:val="left" w:pos="5627"/>
          <w:tab w:val="left" w:pos="9227"/>
        </w:tabs>
        <w:spacing w:before="90"/>
        <w:ind w:hanging="4590"/>
        <w:rPr>
          <w:u w:val="none"/>
        </w:rPr>
      </w:pPr>
      <w:bookmarkStart w:id="0" w:name="_GoBack"/>
      <w:bookmarkEnd w:id="0"/>
    </w:p>
    <w:sectPr>
      <w:type w:val="continuous"/>
      <w:pgSz w:w="12240" w:h="15840"/>
      <w:pgMar w:top="1360" w:right="1320" w:bottom="280" w:left="1320" w:header="720" w:footer="720" w:gutter="0"/>
      <w:cols w:equalWidth="0" w:num="2">
        <w:col w:w="4480" w:space="307"/>
        <w:col w:w="481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3415CD"/>
    <w:multiLevelType w:val="multilevel"/>
    <w:tmpl w:val="633415C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246008"/>
    <w:rsid w:val="0018460A"/>
    <w:rsid w:val="00246008"/>
    <w:rsid w:val="002562A3"/>
    <w:rsid w:val="00403266"/>
    <w:rsid w:val="00467D81"/>
    <w:rsid w:val="0048179B"/>
    <w:rsid w:val="00502845"/>
    <w:rsid w:val="00514CAE"/>
    <w:rsid w:val="00576B61"/>
    <w:rsid w:val="005E040F"/>
    <w:rsid w:val="00690521"/>
    <w:rsid w:val="008C3BC5"/>
    <w:rsid w:val="00B64FB6"/>
    <w:rsid w:val="00C07BD2"/>
    <w:rsid w:val="00C23076"/>
    <w:rsid w:val="00C5653F"/>
    <w:rsid w:val="00DB18B5"/>
    <w:rsid w:val="00E37B36"/>
    <w:rsid w:val="00EF736A"/>
    <w:rsid w:val="00FD3BEB"/>
    <w:rsid w:val="00FF40B4"/>
    <w:rsid w:val="11EF39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en-US" w:eastAsia="en-US" w:bidi="ar-SA"/>
    </w:rPr>
  </w:style>
  <w:style w:type="paragraph" w:styleId="2">
    <w:name w:val="heading 1"/>
    <w:basedOn w:val="1"/>
    <w:next w:val="1"/>
    <w:qFormat/>
    <w:uiPriority w:val="1"/>
    <w:pPr>
      <w:ind w:left="3001"/>
      <w:outlineLvl w:val="0"/>
    </w:pPr>
    <w:rPr>
      <w:b/>
      <w:bCs/>
      <w:sz w:val="24"/>
      <w:szCs w:val="24"/>
      <w:u w:val="single" w:color="000000"/>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qFormat/>
    <w:uiPriority w:val="1"/>
    <w:rPr>
      <w:sz w:val="24"/>
      <w:szCs w:val="24"/>
      <w:u w:val="single" w:color="000000"/>
    </w:rPr>
  </w:style>
  <w:style w:type="paragraph" w:styleId="6">
    <w:name w:val="List Paragraph"/>
    <w:basedOn w:val="1"/>
    <w:qFormat/>
    <w:uiPriority w:val="1"/>
    <w:pPr>
      <w:ind w:left="120" w:right="116" w:firstLine="720"/>
      <w:jc w:val="both"/>
    </w:pPr>
    <w:rPr>
      <w:u w:val="single" w:color="000000"/>
    </w:rPr>
  </w:style>
  <w:style w:type="paragraph" w:customStyle="1" w:styleId="7">
    <w:name w:val="Table Paragraph"/>
    <w:basedOn w:val="1"/>
    <w:qFormat/>
    <w:uiPriority w:val="1"/>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381</Words>
  <Characters>2173</Characters>
  <Lines>18</Lines>
  <Paragraphs>5</Paragraphs>
  <TotalTime>14</TotalTime>
  <ScaleCrop>false</ScaleCrop>
  <LinksUpToDate>false</LinksUpToDate>
  <CharactersWithSpaces>2549</CharactersWithSpaces>
  <Application>WPS Office_10.2.0.7625_F1E327BC-269C-435d-A152-05C5408002CA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2019-01-15T12:35:00Z</dcterms:created>
  <dc:creator>JAbbo</dc:creator>
  <cp:lastModifiedBy>ayush</cp:lastModifiedBy>
  <dcterms:modified xsi:type="dcterms:W3CDTF">2019-01-17T17:37:12Z</dcterms:modified>
  <dc:title>Microsoft Word - Med-Arb Engagement Letter</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2013-05-06T00:00:00Z</vt:filetime>
  </property>
  <property fmtid="{D5CDD505-2E9C-101B-9397-08002B2CF9AE}" pid="3" name="Creator">
    <vt:lpwstr>PScript5.dll Version 5.2.2</vt:lpwstr>
  </property>
  <property fmtid="{D5CDD505-2E9C-101B-9397-08002B2CF9AE}" pid="4" name="LastSaved">
    <vt:filetime>2019-01-14T00:00:00Z</vt:filetime>
  </property>
  <property fmtid="{D5CDD505-2E9C-101B-9397-08002B2CF9AE}" pid="5" name="KSOProductBuildVer">
    <vt:lpwstr>1033-10.2.0.7625</vt:lpwstr>
  </property>
</Properties>
</file>